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5504" w14:textId="4640DB9F" w:rsidR="00F71945" w:rsidRDefault="009C5216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C5216">
        <w:rPr>
          <w:rFonts w:ascii="Times New Roman" w:hAnsi="Times New Roman" w:cs="Times New Roman"/>
          <w:b/>
          <w:sz w:val="28"/>
        </w:rPr>
        <w:t>«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Ақмола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басқармасыны</w:t>
      </w:r>
      <w:proofErr w:type="gramStart"/>
      <w:r w:rsidRPr="009C5216">
        <w:rPr>
          <w:rFonts w:ascii="Times New Roman" w:hAnsi="Times New Roman" w:cs="Times New Roman"/>
          <w:b/>
          <w:sz w:val="28"/>
        </w:rPr>
        <w:t>ң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</w:t>
      </w:r>
      <w:proofErr w:type="gramEnd"/>
      <w:r w:rsidRPr="009C5216">
        <w:rPr>
          <w:rFonts w:ascii="Times New Roman" w:hAnsi="Times New Roman" w:cs="Times New Roman"/>
          <w:b/>
          <w:sz w:val="28"/>
        </w:rPr>
        <w:t>іржан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сал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ауданының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бөлімінің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жанындағы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 Степняк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қаласының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Біржан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сал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атындағы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балалар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музыка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мектебі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коммуналдық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қазыналық</w:t>
      </w:r>
      <w:proofErr w:type="spellEnd"/>
      <w:r w:rsidRPr="009C521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5216">
        <w:rPr>
          <w:rFonts w:ascii="Times New Roman" w:hAnsi="Times New Roman" w:cs="Times New Roman"/>
          <w:b/>
          <w:sz w:val="28"/>
        </w:rPr>
        <w:t>кәсіпорны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ны</w:t>
      </w:r>
      <w:r w:rsidR="00A404A8">
        <w:rPr>
          <w:rFonts w:ascii="Times New Roman" w:hAnsi="Times New Roman" w:cs="Times New Roman"/>
          <w:b/>
          <w:sz w:val="28"/>
          <w:lang w:val="kk-KZ"/>
        </w:rPr>
        <w:t>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41362B4B" w14:textId="7EF82152" w:rsidR="009C5216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9C5216" w:rsidRPr="009C5216">
        <w:rPr>
          <w:rFonts w:ascii="Times New Roman" w:hAnsi="Times New Roman" w:cs="Times New Roman"/>
          <w:sz w:val="28"/>
          <w:lang w:val="kk-KZ"/>
        </w:rPr>
        <w:t>«Ақмола облысы білім басқармасының Біржан сал ауданының  білім бөлімінің жанындағы  Степняк қаласының Біржан сал атындағы балалар музыка мектебі» мемлекеттік  коммуналдық қазыналық кәсіпорны</w:t>
      </w:r>
      <w:r w:rsidR="005F0E1A" w:rsidRPr="009C5216">
        <w:rPr>
          <w:rFonts w:ascii="Times New Roman" w:hAnsi="Times New Roman" w:cs="Times New Roman"/>
          <w:sz w:val="28"/>
          <w:lang w:val="kk-KZ"/>
        </w:rPr>
        <w:t xml:space="preserve">»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6" w:history="1">
        <w:r w:rsidR="009C5216" w:rsidRPr="00B63D4C">
          <w:rPr>
            <w:rStyle w:val="a3"/>
            <w:rFonts w:ascii="Times New Roman" w:hAnsi="Times New Roman" w:cs="Times New Roman"/>
            <w:sz w:val="28"/>
            <w:lang w:val="kk-KZ"/>
          </w:rPr>
          <w:t>http://vs0001.birzhansal.aqmoedu.kz/news/open/id-15706809</w:t>
        </w:r>
      </w:hyperlink>
    </w:p>
    <w:p w14:paraId="3B15BB14" w14:textId="77777777" w:rsidR="009C5216" w:rsidRDefault="009C5216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0234ABE" w14:textId="3B6F1F62" w:rsidR="009C5216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9C5216" w:rsidRPr="009C5216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Біржан сал ауданының  білім бөлімінің жанындағы  Степняк қаласының Біржан сал атындағы балалар музыка мектебі»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4365EB6" w14:textId="3CDB9FF4" w:rsidR="009C5216" w:rsidRDefault="009C5216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7" w:history="1">
        <w:r w:rsidRPr="00B63D4C">
          <w:rPr>
            <w:rStyle w:val="a3"/>
            <w:rFonts w:ascii="Times New Roman" w:hAnsi="Times New Roman" w:cs="Times New Roman"/>
            <w:sz w:val="28"/>
            <w:lang w:val="kk-KZ"/>
          </w:rPr>
          <w:t>http://vs0001.birzhansal.aqmoedu.kz/news/open/id-15706809</w:t>
        </w:r>
      </w:hyperlink>
    </w:p>
    <w:p w14:paraId="471AC0B0" w14:textId="50942A1B" w:rsidR="00AC38BC" w:rsidRPr="00A25DDB" w:rsidRDefault="003623D5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85EF0DC" w14:textId="4DE34A0C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825A4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E825A4">
        <w:rPr>
          <w:rFonts w:ascii="Times New Roman" w:hAnsi="Times New Roman" w:cs="Times New Roman"/>
          <w:sz w:val="28"/>
          <w:lang w:val="kk-KZ"/>
        </w:rPr>
        <w:t xml:space="preserve">Ақмола облысы білім басқармасы»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32E6A9" w14:textId="43E8D714" w:rsidR="00AF7353" w:rsidRPr="009C5216" w:rsidRDefault="009C5216" w:rsidP="00AF7353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БММ директоры </w:t>
      </w:r>
      <w:r w:rsidR="00AF7353" w:rsidRPr="00AF7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Г.А. Куртабиева</w:t>
      </w: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44C4B54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об итогах проведения публичного обсуждения отчета о </w:t>
      </w:r>
      <w:r w:rsidR="00CD27A2" w:rsidRPr="00CD27A2">
        <w:rPr>
          <w:rFonts w:ascii="Times New Roman" w:hAnsi="Times New Roman" w:cs="Times New Roman"/>
          <w:b/>
          <w:sz w:val="28"/>
        </w:rPr>
        <w:t xml:space="preserve">ГККП «Детская музыкальная школа имени </w:t>
      </w:r>
      <w:proofErr w:type="spellStart"/>
      <w:r w:rsidR="00CD27A2" w:rsidRPr="00CD27A2">
        <w:rPr>
          <w:rFonts w:ascii="Times New Roman" w:hAnsi="Times New Roman" w:cs="Times New Roman"/>
          <w:b/>
          <w:sz w:val="28"/>
        </w:rPr>
        <w:t>Биржан</w:t>
      </w:r>
      <w:proofErr w:type="spellEnd"/>
      <w:r w:rsidR="00CD27A2" w:rsidRPr="00CD27A2">
        <w:rPr>
          <w:rFonts w:ascii="Times New Roman" w:hAnsi="Times New Roman" w:cs="Times New Roman"/>
          <w:b/>
          <w:sz w:val="28"/>
        </w:rPr>
        <w:t xml:space="preserve"> сал города Степняк отдела образования по району </w:t>
      </w:r>
      <w:proofErr w:type="spellStart"/>
      <w:r w:rsidR="00CD27A2" w:rsidRPr="00CD27A2">
        <w:rPr>
          <w:rFonts w:ascii="Times New Roman" w:hAnsi="Times New Roman" w:cs="Times New Roman"/>
          <w:b/>
          <w:sz w:val="28"/>
        </w:rPr>
        <w:t>Биржан</w:t>
      </w:r>
      <w:proofErr w:type="spellEnd"/>
      <w:r w:rsidR="00CD27A2" w:rsidRPr="00CD27A2">
        <w:rPr>
          <w:rFonts w:ascii="Times New Roman" w:hAnsi="Times New Roman" w:cs="Times New Roman"/>
          <w:b/>
          <w:sz w:val="28"/>
        </w:rPr>
        <w:t xml:space="preserve"> сал управления образования </w:t>
      </w:r>
      <w:proofErr w:type="spellStart"/>
      <w:r w:rsidR="00CD27A2" w:rsidRPr="00CD27A2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="00CD27A2" w:rsidRPr="00CD27A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D27A2" w:rsidRPr="00CD27A2">
        <w:rPr>
          <w:rFonts w:ascii="Times New Roman" w:hAnsi="Times New Roman" w:cs="Times New Roman"/>
          <w:b/>
          <w:sz w:val="28"/>
        </w:rPr>
        <w:t>области</w:t>
      </w:r>
      <w:proofErr w:type="gramStart"/>
      <w:r w:rsidR="00CD27A2" w:rsidRPr="00CD27A2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356675CC" w14:textId="77777777" w:rsidR="00AF7353" w:rsidRDefault="00AF7353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5F203F2C" w14:textId="21A1CD9F" w:rsidR="009C5216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CD27A2" w:rsidRPr="00CD27A2">
        <w:rPr>
          <w:rFonts w:ascii="Times New Roman" w:hAnsi="Times New Roman" w:cs="Times New Roman"/>
          <w:sz w:val="28"/>
          <w:lang w:val="kk-KZ"/>
        </w:rPr>
        <w:t>ГККП «Детская музыкальная школа имени Биржан сал города Степняк отдела образования по району Биржан сал управления образования Акмолинской области»</w:t>
      </w:r>
      <w:r>
        <w:rPr>
          <w:rFonts w:ascii="Times New Roman" w:hAnsi="Times New Roman" w:cs="Times New Roman"/>
          <w:sz w:val="28"/>
          <w:lang w:val="kk-KZ"/>
        </w:rPr>
        <w:t xml:space="preserve">  ссылка</w:t>
      </w:r>
    </w:p>
    <w:p w14:paraId="58911DE0" w14:textId="017D48E4" w:rsidR="009C5216" w:rsidRDefault="009C5216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8" w:history="1">
        <w:r w:rsidRPr="00B63D4C">
          <w:rPr>
            <w:rStyle w:val="a3"/>
            <w:rFonts w:ascii="Times New Roman" w:hAnsi="Times New Roman" w:cs="Times New Roman"/>
            <w:sz w:val="28"/>
            <w:lang w:val="kk-KZ"/>
          </w:rPr>
          <w:t>http://vs0001.birzhansal.aqmoedu.kz/news/open/id-15706809</w:t>
        </w:r>
      </w:hyperlink>
    </w:p>
    <w:p w14:paraId="6FDF9762" w14:textId="53A6B857" w:rsidR="00721C95" w:rsidRPr="00A264BF" w:rsidRDefault="00721C95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3DFAD392" w14:textId="3E086614" w:rsidR="009C5216" w:rsidRDefault="006065BF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C5216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CD27A2" w:rsidRPr="00CD27A2">
        <w:rPr>
          <w:rFonts w:ascii="Times New Roman" w:hAnsi="Times New Roman" w:cs="Times New Roman"/>
          <w:sz w:val="28"/>
          <w:lang w:val="kk-KZ"/>
        </w:rPr>
        <w:t>ГККП «Детская музыкальная школа имени Биржан сал города Степняк отдела образования по району Биржан сал управления образования Акмолинской области</w:t>
      </w:r>
      <w:proofErr w:type="gramStart"/>
      <w:r w:rsidR="00CD27A2" w:rsidRPr="00CD27A2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lang w:val="kk-KZ"/>
        </w:rPr>
        <w:t xml:space="preserve">сылка </w:t>
      </w:r>
    </w:p>
    <w:p w14:paraId="64B4142C" w14:textId="6C383911" w:rsidR="009C5216" w:rsidRDefault="009C5216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9" w:history="1">
        <w:r w:rsidRPr="00B63D4C">
          <w:rPr>
            <w:rStyle w:val="a3"/>
            <w:rFonts w:ascii="Times New Roman" w:hAnsi="Times New Roman" w:cs="Times New Roman"/>
            <w:sz w:val="28"/>
            <w:lang w:val="kk-KZ"/>
          </w:rPr>
          <w:t>http://vs0001.birzhansal.aqmoedu.kz/news/open/id-15706809</w:t>
        </w:r>
      </w:hyperlink>
    </w:p>
    <w:p w14:paraId="66C85B68" w14:textId="77777777" w:rsidR="009C5216" w:rsidRDefault="009C5216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C1D5EE6" w14:textId="5FC6E2A0" w:rsidR="006065BF" w:rsidRDefault="006065BF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C5216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276FC6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276FC6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39B4A344" w14:textId="77777777" w:rsidR="00465319" w:rsidRDefault="00465319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14:paraId="21C49319" w14:textId="75287B88" w:rsidR="006065BF" w:rsidRPr="00465319" w:rsidRDefault="00CD27A2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Директор ДМШ                    </w:t>
      </w:r>
      <w:r w:rsidR="00AF7353" w:rsidRP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</w:t>
      </w:r>
      <w:r w:rsid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>Куртабиева Г.А.</w:t>
      </w:r>
      <w:bookmarkStart w:id="0" w:name="_GoBack"/>
      <w:bookmarkEnd w:id="0"/>
    </w:p>
    <w:sectPr w:rsidR="006065BF" w:rsidRPr="00465319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623D5"/>
    <w:rsid w:val="003A2B2C"/>
    <w:rsid w:val="003E0559"/>
    <w:rsid w:val="003F5320"/>
    <w:rsid w:val="00402A51"/>
    <w:rsid w:val="00427311"/>
    <w:rsid w:val="00447FE8"/>
    <w:rsid w:val="00465319"/>
    <w:rsid w:val="004B6AF5"/>
    <w:rsid w:val="004F5D0E"/>
    <w:rsid w:val="005333A6"/>
    <w:rsid w:val="005557C1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C5216"/>
    <w:rsid w:val="009E5E4E"/>
    <w:rsid w:val="00A23D57"/>
    <w:rsid w:val="00A25DDB"/>
    <w:rsid w:val="00A264BF"/>
    <w:rsid w:val="00A30DE4"/>
    <w:rsid w:val="00A404A8"/>
    <w:rsid w:val="00A72770"/>
    <w:rsid w:val="00A7469E"/>
    <w:rsid w:val="00A83AFB"/>
    <w:rsid w:val="00AC38BC"/>
    <w:rsid w:val="00AF7353"/>
    <w:rsid w:val="00AF7B36"/>
    <w:rsid w:val="00B0289E"/>
    <w:rsid w:val="00B77537"/>
    <w:rsid w:val="00B827D0"/>
    <w:rsid w:val="00BF6500"/>
    <w:rsid w:val="00C05C07"/>
    <w:rsid w:val="00C16703"/>
    <w:rsid w:val="00CB3020"/>
    <w:rsid w:val="00CD27A2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0001.birzhansal.aqmoedu.kz/news/open/id-157068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0001.birzhansal.aqmoedu.kz/news/open/id-157068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s0001.birzhansal.aqmoedu.kz/news/open/id-157068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0001.birzhansal.aqmoedu.kz/news/open/id-15706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1CC6-6C6F-48E9-9752-0729329D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2026-03-31T13:54:00Z</cp:lastPrinted>
  <dcterms:created xsi:type="dcterms:W3CDTF">2025-04-03T13:13:00Z</dcterms:created>
  <dcterms:modified xsi:type="dcterms:W3CDTF">2026-03-31T13:54:00Z</dcterms:modified>
</cp:coreProperties>
</file>